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2" w:rsidRPr="005D42D3" w:rsidRDefault="00AB2308" w:rsidP="00C63DED">
      <w:pPr>
        <w:spacing w:before="120" w:after="120" w:line="36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B2308" w:rsidRPr="005D42D3" w:rsidRDefault="00AB2308" w:rsidP="00C63DED">
      <w:pPr>
        <w:spacing w:before="120" w:after="120" w:line="36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SİİRT ÜNİVERSİTESİ</w:t>
      </w:r>
    </w:p>
    <w:p w:rsidR="00AB2308" w:rsidRPr="005D42D3" w:rsidRDefault="00E54782" w:rsidP="00C63DED">
      <w:pPr>
        <w:spacing w:before="120" w:after="120" w:line="36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AKADEMİK</w:t>
      </w:r>
      <w:r w:rsidR="00AB2308"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23C"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PERFORMANS </w:t>
      </w:r>
      <w:r w:rsidR="00AB2308" w:rsidRPr="005D42D3">
        <w:rPr>
          <w:rFonts w:ascii="Times New Roman" w:eastAsia="Times New Roman" w:hAnsi="Times New Roman" w:cs="Times New Roman"/>
          <w:b/>
          <w:sz w:val="24"/>
          <w:szCs w:val="24"/>
        </w:rPr>
        <w:t>TEŞVİK YÖNERGESİ</w:t>
      </w:r>
    </w:p>
    <w:p w:rsidR="00542747" w:rsidRPr="005D42D3" w:rsidRDefault="00542747" w:rsidP="00C63DED">
      <w:pPr>
        <w:spacing w:before="120" w:after="120" w:line="360" w:lineRule="auto"/>
        <w:ind w:left="2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747" w:rsidRPr="005D42D3" w:rsidRDefault="00542747" w:rsidP="00C63DE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</w:p>
    <w:p w:rsidR="00AB2308" w:rsidRPr="005D42D3" w:rsidRDefault="00AB2308" w:rsidP="00C63DE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Amaç, </w:t>
      </w:r>
      <w:r w:rsidR="00767436" w:rsidRPr="005D42D3">
        <w:rPr>
          <w:rFonts w:ascii="Times New Roman" w:eastAsia="Times New Roman" w:hAnsi="Times New Roman" w:cs="Times New Roman"/>
          <w:b/>
          <w:sz w:val="24"/>
          <w:szCs w:val="24"/>
        </w:rPr>
        <w:t>Kapsam, Dayanak ve Tanımlar</w:t>
      </w:r>
    </w:p>
    <w:p w:rsidR="00AB2308" w:rsidRPr="005D42D3" w:rsidRDefault="00AB2308" w:rsidP="00C63DED">
      <w:pPr>
        <w:spacing w:before="120" w:after="120" w:line="36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  <w:r w:rsidR="00542747"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2308" w:rsidRPr="005D42D3" w:rsidRDefault="00AB2308" w:rsidP="00C63DE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D42D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42D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 xml:space="preserve"> Bu yönergenin amacı; Siirt Üniversitesi öğretim elemanlarının yurt içi ve yurt dışı bilimsel çalışma performanslarını arttırma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>k ve</w:t>
      </w:r>
      <w:r w:rsidR="006134D3" w:rsidRPr="005D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>özendirme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>ye</w:t>
      </w:r>
      <w:r w:rsidR="006134D3" w:rsidRPr="005D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6134D3" w:rsidRPr="005D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>usul ve esasları belirlemektir.</w:t>
      </w:r>
    </w:p>
    <w:p w:rsidR="00AB2308" w:rsidRPr="005D42D3" w:rsidRDefault="00AB2308" w:rsidP="00C63DED">
      <w:pPr>
        <w:spacing w:before="120" w:after="120" w:line="36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</w:p>
    <w:p w:rsidR="0071698B" w:rsidRPr="005D42D3" w:rsidRDefault="00AB2308" w:rsidP="00C63DE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D42D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42D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 xml:space="preserve"> Bu yönerge, bilimsel faaliyetleri teşvik, kurumsal gelişime katkı ve buna yönelik çalışmalarda bulunan öğretim elemanlarının ödüllendirilmesine ilişkin hükümleri kapsamaktadır.</w:t>
      </w:r>
      <w:r w:rsidR="0071698B" w:rsidRPr="005D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308" w:rsidRPr="005D42D3" w:rsidRDefault="00AB2308" w:rsidP="00C63DED">
      <w:pPr>
        <w:spacing w:before="120" w:after="120" w:line="360" w:lineRule="auto"/>
        <w:ind w:right="20" w:firstLine="7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D3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AB2308" w:rsidRPr="005D42D3" w:rsidRDefault="006134D3" w:rsidP="00C63DED">
      <w:pPr>
        <w:spacing w:before="120" w:after="12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D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D42D3">
        <w:rPr>
          <w:rFonts w:ascii="Times New Roman" w:hAnsi="Times New Roman" w:cs="Times New Roman"/>
          <w:b/>
          <w:sz w:val="24"/>
          <w:szCs w:val="24"/>
        </w:rPr>
        <w:t>(</w:t>
      </w:r>
      <w:r w:rsidRPr="005D42D3">
        <w:rPr>
          <w:rFonts w:ascii="Times New Roman" w:hAnsi="Times New Roman" w:cs="Times New Roman"/>
          <w:b/>
          <w:sz w:val="24"/>
          <w:szCs w:val="24"/>
        </w:rPr>
        <w:t>3</w:t>
      </w:r>
      <w:r w:rsidR="005D42D3">
        <w:rPr>
          <w:rFonts w:ascii="Times New Roman" w:hAnsi="Times New Roman" w:cs="Times New Roman"/>
          <w:b/>
          <w:sz w:val="24"/>
          <w:szCs w:val="24"/>
        </w:rPr>
        <w:t>)</w:t>
      </w:r>
      <w:r w:rsidRPr="005D42D3">
        <w:rPr>
          <w:rFonts w:ascii="Times New Roman" w:hAnsi="Times New Roman" w:cs="Times New Roman"/>
          <w:b/>
          <w:sz w:val="24"/>
          <w:szCs w:val="24"/>
        </w:rPr>
        <w:t>-</w:t>
      </w:r>
      <w:r w:rsidRPr="005D42D3">
        <w:rPr>
          <w:rFonts w:ascii="Times New Roman" w:hAnsi="Times New Roman" w:cs="Times New Roman"/>
          <w:sz w:val="24"/>
          <w:szCs w:val="24"/>
        </w:rPr>
        <w:t xml:space="preserve"> </w:t>
      </w:r>
      <w:r w:rsidR="00AB2308" w:rsidRPr="005D42D3">
        <w:rPr>
          <w:rFonts w:ascii="Times New Roman" w:hAnsi="Times New Roman" w:cs="Times New Roman"/>
          <w:sz w:val="24"/>
          <w:szCs w:val="24"/>
        </w:rPr>
        <w:t xml:space="preserve">Bu yönerge, 2547 Sayılı Yükseköğretim Kanununun 14/b-2 ve 14/b-8 inci maddelerine dayanılarak hazırlanmıştır. </w:t>
      </w:r>
    </w:p>
    <w:p w:rsidR="00AB2308" w:rsidRPr="005D42D3" w:rsidRDefault="006134D3" w:rsidP="00C63DED">
      <w:pPr>
        <w:spacing w:before="120" w:after="120" w:line="360" w:lineRule="auto"/>
        <w:ind w:right="20" w:firstLine="7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D3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AB2308" w:rsidRPr="005D42D3" w:rsidRDefault="006134D3" w:rsidP="00C63DED">
      <w:pPr>
        <w:spacing w:before="120" w:after="12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D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D42D3">
        <w:rPr>
          <w:rFonts w:ascii="Times New Roman" w:hAnsi="Times New Roman" w:cs="Times New Roman"/>
          <w:b/>
          <w:sz w:val="24"/>
          <w:szCs w:val="24"/>
        </w:rPr>
        <w:t>(</w:t>
      </w:r>
      <w:r w:rsidRPr="005D42D3">
        <w:rPr>
          <w:rFonts w:ascii="Times New Roman" w:hAnsi="Times New Roman" w:cs="Times New Roman"/>
          <w:b/>
          <w:sz w:val="24"/>
          <w:szCs w:val="24"/>
        </w:rPr>
        <w:t>4</w:t>
      </w:r>
      <w:r w:rsidR="005D42D3">
        <w:rPr>
          <w:rFonts w:ascii="Times New Roman" w:hAnsi="Times New Roman" w:cs="Times New Roman"/>
          <w:b/>
          <w:sz w:val="24"/>
          <w:szCs w:val="24"/>
        </w:rPr>
        <w:t>)</w:t>
      </w:r>
      <w:r w:rsidR="00FD4DC2">
        <w:rPr>
          <w:rFonts w:ascii="Times New Roman" w:hAnsi="Times New Roman" w:cs="Times New Roman"/>
          <w:b/>
          <w:sz w:val="24"/>
          <w:szCs w:val="24"/>
        </w:rPr>
        <w:t>-</w:t>
      </w:r>
      <w:r w:rsidR="005D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C2">
        <w:rPr>
          <w:rFonts w:ascii="Times New Roman" w:hAnsi="Times New Roman" w:cs="Times New Roman"/>
          <w:sz w:val="24"/>
          <w:szCs w:val="24"/>
        </w:rPr>
        <w:t>Bu y</w:t>
      </w:r>
      <w:r w:rsidR="00AB2308" w:rsidRPr="005D42D3">
        <w:rPr>
          <w:rFonts w:ascii="Times New Roman" w:hAnsi="Times New Roman" w:cs="Times New Roman"/>
          <w:sz w:val="24"/>
          <w:szCs w:val="24"/>
        </w:rPr>
        <w:t xml:space="preserve">önergede; </w:t>
      </w:r>
    </w:p>
    <w:p w:rsidR="006134D3" w:rsidRPr="009851ED" w:rsidRDefault="006134D3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eastAsia="Times New Roman" w:hAnsi="Times New Roman" w:cs="Times New Roman"/>
          <w:bCs/>
          <w:sz w:val="24"/>
          <w:szCs w:val="24"/>
        </w:rPr>
        <w:t xml:space="preserve">Birim </w:t>
      </w:r>
      <w:r w:rsidRPr="00985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Akademik Performans Teşvik Değerlendirme</w:t>
      </w:r>
      <w:r w:rsidRPr="009851ED">
        <w:rPr>
          <w:rFonts w:ascii="Times New Roman" w:hAnsi="Times New Roman" w:cs="Times New Roman"/>
          <w:bCs/>
          <w:sz w:val="24"/>
          <w:szCs w:val="24"/>
        </w:rPr>
        <w:t xml:space="preserve"> Komisyonu</w:t>
      </w:r>
      <w:r w:rsidRPr="009851ED">
        <w:rPr>
          <w:rFonts w:ascii="Times New Roman" w:eastAsia="Times New Roman" w:hAnsi="Times New Roman" w:cs="Times New Roman"/>
          <w:bCs/>
          <w:sz w:val="24"/>
          <w:szCs w:val="24"/>
        </w:rPr>
        <w:t>; Siirt Üniversitesi ye alan Fakülte, Yüksekokul ve Meslek Yüksekokuldaki akademik performans teşvik değerlendirme komisyonun</w:t>
      </w:r>
      <w:r w:rsidR="005D42D3" w:rsidRPr="009851E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9851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6134D3" w:rsidRPr="009851ED" w:rsidRDefault="006134D3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>Fakülte: Siirt Üniversitesine bağlı Fakülteleri,</w:t>
      </w:r>
    </w:p>
    <w:p w:rsidR="005D42D3" w:rsidRPr="009851ED" w:rsidRDefault="006134D3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 xml:space="preserve">Komisyon </w:t>
      </w:r>
      <w:r w:rsidR="00AB2308" w:rsidRPr="009851ED">
        <w:rPr>
          <w:rFonts w:ascii="Times New Roman" w:hAnsi="Times New Roman" w:cs="Times New Roman"/>
          <w:bCs/>
          <w:sz w:val="24"/>
          <w:szCs w:val="24"/>
        </w:rPr>
        <w:t>Başkan</w:t>
      </w:r>
      <w:r w:rsidR="00F23AC3" w:rsidRPr="009851ED">
        <w:rPr>
          <w:rFonts w:ascii="Times New Roman" w:hAnsi="Times New Roman" w:cs="Times New Roman"/>
          <w:bCs/>
          <w:sz w:val="24"/>
          <w:szCs w:val="24"/>
        </w:rPr>
        <w:t>ı</w:t>
      </w:r>
      <w:r w:rsidR="00AB2308" w:rsidRPr="009851ED">
        <w:rPr>
          <w:rFonts w:ascii="Times New Roman" w:hAnsi="Times New Roman" w:cs="Times New Roman"/>
          <w:bCs/>
          <w:sz w:val="24"/>
          <w:szCs w:val="24"/>
        </w:rPr>
        <w:t xml:space="preserve">: Siirt Üniversitesi </w:t>
      </w:r>
      <w:r w:rsidR="00767436" w:rsidRPr="00985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Akademik </w:t>
      </w:r>
      <w:r w:rsidRPr="00985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Performans </w:t>
      </w:r>
      <w:r w:rsidR="00767436" w:rsidRPr="00985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Teşvik </w:t>
      </w:r>
      <w:r w:rsidRPr="009851ED">
        <w:rPr>
          <w:rFonts w:ascii="Times New Roman" w:hAnsi="Times New Roman" w:cs="Times New Roman"/>
          <w:bCs/>
          <w:sz w:val="24"/>
          <w:szCs w:val="24"/>
        </w:rPr>
        <w:t>Komisyonu Başkanını,</w:t>
      </w:r>
    </w:p>
    <w:p w:rsidR="005D42D3" w:rsidRPr="009851ED" w:rsidRDefault="005D42D3" w:rsidP="00C63DED">
      <w:pPr>
        <w:spacing w:before="120" w:after="120" w:line="360" w:lineRule="auto"/>
        <w:ind w:left="761"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 xml:space="preserve">ç)  </w:t>
      </w:r>
      <w:r w:rsidR="006134D3" w:rsidRPr="009851ED">
        <w:rPr>
          <w:rFonts w:ascii="Times New Roman" w:hAnsi="Times New Roman" w:cs="Times New Roman"/>
          <w:bCs/>
          <w:sz w:val="24"/>
          <w:szCs w:val="24"/>
        </w:rPr>
        <w:t>Meslek Yüksekokulu: Siirt Üniversitesine bağlı Meslek Yüksekokullarını,</w:t>
      </w:r>
    </w:p>
    <w:p w:rsidR="005D42D3" w:rsidRPr="009851ED" w:rsidRDefault="006134D3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>Rektör</w:t>
      </w:r>
      <w:r w:rsidRPr="009851E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9851ED">
        <w:rPr>
          <w:rFonts w:ascii="Times New Roman" w:hAnsi="Times New Roman" w:cs="Times New Roman"/>
          <w:bCs/>
          <w:sz w:val="24"/>
          <w:szCs w:val="24"/>
        </w:rPr>
        <w:t xml:space="preserve"> Siirt Üniversitesi Rektörünü,</w:t>
      </w:r>
    </w:p>
    <w:p w:rsidR="005D42D3" w:rsidRPr="009851ED" w:rsidRDefault="00AB2308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>Senato:</w:t>
      </w:r>
      <w:r w:rsidR="005D42D3" w:rsidRPr="009851ED">
        <w:rPr>
          <w:rFonts w:ascii="Times New Roman" w:hAnsi="Times New Roman" w:cs="Times New Roman"/>
          <w:bCs/>
          <w:sz w:val="24"/>
          <w:szCs w:val="24"/>
        </w:rPr>
        <w:t xml:space="preserve"> Siirt Üniversitesi Senatosunu,</w:t>
      </w:r>
    </w:p>
    <w:p w:rsidR="00C63DED" w:rsidRPr="009851ED" w:rsidRDefault="00AB2308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>Üniversite:</w:t>
      </w:r>
      <w:r w:rsidR="005D42D3" w:rsidRPr="009851ED">
        <w:rPr>
          <w:rFonts w:ascii="Times New Roman" w:hAnsi="Times New Roman" w:cs="Times New Roman"/>
          <w:bCs/>
          <w:sz w:val="24"/>
          <w:szCs w:val="24"/>
        </w:rPr>
        <w:t xml:space="preserve"> Siirt Üniversitesini,</w:t>
      </w:r>
      <w:r w:rsidR="00C63DED" w:rsidRPr="009851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3DED" w:rsidRPr="009851ED" w:rsidRDefault="00C63DED" w:rsidP="00C63DED">
      <w:pPr>
        <w:pStyle w:val="ListeParagraf"/>
        <w:numPr>
          <w:ilvl w:val="0"/>
          <w:numId w:val="2"/>
        </w:numPr>
        <w:spacing w:before="120" w:after="120" w:line="36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Üniversite </w:t>
      </w:r>
      <w:r w:rsidRPr="00985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Akademik Performans Teşvik Değerlendirme </w:t>
      </w:r>
      <w:r w:rsidRPr="009851ED">
        <w:rPr>
          <w:rFonts w:ascii="Times New Roman" w:hAnsi="Times New Roman" w:cs="Times New Roman"/>
          <w:bCs/>
          <w:sz w:val="24"/>
          <w:szCs w:val="24"/>
        </w:rPr>
        <w:t>Komisyonu</w:t>
      </w:r>
      <w:r w:rsidRPr="009851ED">
        <w:rPr>
          <w:rFonts w:ascii="Times New Roman" w:eastAsia="Times New Roman" w:hAnsi="Times New Roman" w:cs="Times New Roman"/>
          <w:bCs/>
          <w:sz w:val="24"/>
          <w:szCs w:val="24"/>
        </w:rPr>
        <w:t>: Siirt Üniversitesi Akademik Performans Teşvik Değerlendirme komisyonunu</w:t>
      </w:r>
      <w:r w:rsidRPr="009851ED">
        <w:rPr>
          <w:rFonts w:ascii="Times New Roman" w:hAnsi="Times New Roman" w:cs="Times New Roman"/>
          <w:bCs/>
          <w:sz w:val="24"/>
          <w:szCs w:val="24"/>
        </w:rPr>
        <w:t>,</w:t>
      </w:r>
    </w:p>
    <w:p w:rsidR="005D42D3" w:rsidRPr="009851ED" w:rsidRDefault="005D42D3" w:rsidP="00C63DED">
      <w:pPr>
        <w:spacing w:before="120" w:after="120" w:line="360" w:lineRule="auto"/>
        <w:ind w:left="761"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1ED">
        <w:rPr>
          <w:rFonts w:ascii="Times New Roman" w:hAnsi="Times New Roman" w:cs="Times New Roman"/>
          <w:bCs/>
          <w:sz w:val="24"/>
          <w:szCs w:val="24"/>
        </w:rPr>
        <w:t>ğ)  Yüksekokul: Siirt Üniversitesine bağlı Yüksekokulları,</w:t>
      </w:r>
    </w:p>
    <w:p w:rsidR="00FD4DC2" w:rsidRDefault="00FD4DC2" w:rsidP="00C63DED">
      <w:pPr>
        <w:spacing w:before="120" w:after="120" w:line="360" w:lineRule="auto"/>
        <w:ind w:left="761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2D3" w:rsidRDefault="00C44B0D" w:rsidP="00C63DED">
      <w:pPr>
        <w:spacing w:before="120" w:after="120" w:line="360" w:lineRule="auto"/>
        <w:ind w:left="761" w:right="20"/>
        <w:jc w:val="center"/>
        <w:rPr>
          <w:rFonts w:ascii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İKİNCİ</w:t>
      </w:r>
      <w:r w:rsidR="00542747"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</w:t>
      </w:r>
    </w:p>
    <w:p w:rsidR="00AB2308" w:rsidRPr="005D42D3" w:rsidRDefault="00AB2308" w:rsidP="00C63DED">
      <w:pPr>
        <w:spacing w:before="120" w:after="120" w:line="360" w:lineRule="auto"/>
        <w:ind w:left="761" w:right="20"/>
        <w:jc w:val="center"/>
        <w:rPr>
          <w:rFonts w:ascii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Başvuru ve Değerlendirme</w:t>
      </w:r>
    </w:p>
    <w:p w:rsidR="005D42D3" w:rsidRDefault="005D42D3" w:rsidP="00C63DED">
      <w:pPr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Başvuru</w:t>
      </w:r>
    </w:p>
    <w:p w:rsidR="005D42D3" w:rsidRDefault="00767436" w:rsidP="00C63DED">
      <w:pPr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F23AC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23AC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2308"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2308" w:rsidRPr="005D42D3">
        <w:rPr>
          <w:rFonts w:ascii="Times New Roman" w:eastAsia="Times New Roman" w:hAnsi="Times New Roman" w:cs="Times New Roman"/>
          <w:sz w:val="24"/>
          <w:szCs w:val="24"/>
        </w:rPr>
        <w:t>(1) Başvuru ve onay sürecinde aşağıdaki aşamalar izlenir:</w:t>
      </w:r>
    </w:p>
    <w:p w:rsidR="00C63DED" w:rsidRPr="00C63DED" w:rsidRDefault="00767436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Akademik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performans </w:t>
      </w:r>
      <w:r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teşvik 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başvuruları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Rektörlükçe ilan edi</w:t>
      </w:r>
      <w:r w:rsidR="005D42D3" w:rsidRPr="00C63DED">
        <w:rPr>
          <w:rFonts w:ascii="Times New Roman" w:eastAsia="Times New Roman" w:hAnsi="Times New Roman" w:cs="Times New Roman"/>
          <w:sz w:val="24"/>
          <w:szCs w:val="24"/>
        </w:rPr>
        <w:t>len takvim çerçevesinde yapılır,</w:t>
      </w:r>
    </w:p>
    <w:p w:rsidR="00C63DED" w:rsidRPr="00C63DED" w:rsidRDefault="00AB2308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DED">
        <w:rPr>
          <w:rFonts w:ascii="Times New Roman" w:eastAsia="Times New Roman" w:hAnsi="Times New Roman" w:cs="Times New Roman"/>
          <w:sz w:val="24"/>
          <w:szCs w:val="24"/>
        </w:rPr>
        <w:t xml:space="preserve">Başvurular öğretim elemanlarının kadrosunun bulunduğu birime </w:t>
      </w:r>
      <w:r w:rsidR="005D42D3" w:rsidRPr="00C63DED">
        <w:rPr>
          <w:rFonts w:ascii="Times New Roman" w:eastAsia="Times New Roman" w:hAnsi="Times New Roman" w:cs="Times New Roman"/>
          <w:sz w:val="24"/>
          <w:szCs w:val="24"/>
        </w:rPr>
        <w:t>ilandan sonra</w:t>
      </w:r>
      <w:r w:rsidR="00C63DED" w:rsidRPr="00C63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5 iş</w:t>
      </w:r>
      <w:r w:rsidR="00C63DED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="006A695F" w:rsidRPr="00C63DED">
        <w:rPr>
          <w:rFonts w:ascii="Times New Roman" w:eastAsia="Times New Roman" w:hAnsi="Times New Roman" w:cs="Times New Roman"/>
          <w:sz w:val="24"/>
          <w:szCs w:val="24"/>
        </w:rPr>
        <w:t xml:space="preserve">içerisinde </w:t>
      </w:r>
      <w:r w:rsidR="00C63DED" w:rsidRPr="00C63DED">
        <w:rPr>
          <w:rFonts w:ascii="Times New Roman" w:eastAsia="Times New Roman" w:hAnsi="Times New Roman" w:cs="Times New Roman"/>
          <w:sz w:val="24"/>
          <w:szCs w:val="24"/>
        </w:rPr>
        <w:t>yapılır,</w:t>
      </w:r>
    </w:p>
    <w:p w:rsidR="00C63DED" w:rsidRPr="00C63DED" w:rsidRDefault="00C63DED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 xml:space="preserve">akademik performans değerlendirme 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komisyonları değerlendirmeleri </w:t>
      </w:r>
      <w:r w:rsidR="00767436" w:rsidRPr="00C63DED">
        <w:rPr>
          <w:rFonts w:ascii="Times New Roman" w:eastAsia="Times New Roman" w:hAnsi="Times New Roman" w:cs="Times New Roman"/>
          <w:sz w:val="24"/>
          <w:szCs w:val="24"/>
        </w:rPr>
        <w:t>YÖKSİS sisteminde elde edilen ham puanlara göre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yaparak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ilk üçe giren öğretim elemanlarının dosyalarını kanıtlarıyla birlikte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 xml:space="preserve">5 işgünü </w:t>
      </w:r>
      <w:r w:rsidR="006A695F" w:rsidRPr="00C63DED">
        <w:rPr>
          <w:rFonts w:ascii="Times New Roman" w:eastAsia="Times New Roman" w:hAnsi="Times New Roman" w:cs="Times New Roman"/>
          <w:sz w:val="24"/>
          <w:szCs w:val="24"/>
        </w:rPr>
        <w:t xml:space="preserve">içerisinde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akademik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performans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teşvik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değerlendirme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95F" w:rsidRPr="00C63DED">
        <w:rPr>
          <w:rFonts w:ascii="Times New Roman" w:eastAsia="Times New Roman" w:hAnsi="Times New Roman" w:cs="Times New Roman"/>
          <w:sz w:val="24"/>
          <w:szCs w:val="24"/>
        </w:rPr>
        <w:t>komisyonuna sunar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3DED" w:rsidRPr="00C63DED" w:rsidRDefault="00C63DED" w:rsidP="00C63DED">
      <w:p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DED">
        <w:rPr>
          <w:rFonts w:ascii="Times New Roman" w:eastAsia="Times New Roman" w:hAnsi="Times New Roman" w:cs="Times New Roman"/>
          <w:b/>
          <w:sz w:val="24"/>
          <w:szCs w:val="24"/>
        </w:rPr>
        <w:t>ç)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Üniversite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akademik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performans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teşvik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değerlendirme </w:t>
      </w:r>
      <w:r w:rsidR="00C44B0D" w:rsidRPr="00C63DED">
        <w:rPr>
          <w:rFonts w:ascii="Times New Roman" w:eastAsia="Times New Roman" w:hAnsi="Times New Roman" w:cs="Times New Roman"/>
          <w:sz w:val="24"/>
          <w:szCs w:val="24"/>
        </w:rPr>
        <w:t>komisyonu gerekli incelemeleri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bir hafta içerisinde yaparak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sonucu ilan eder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. K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omisyon kararlarına karşı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ilan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tarihinden itibaren 5 iş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>günü içerisinde yazılı olarak itiraz edilebilir. Komisyon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itiraz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lar, itiraz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süresinin bittiğ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i tarihten itibaren en geç 5 iş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>günü içerisinde karara bağla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>nır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. Üniversite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akademik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performans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teşvik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değerlendirme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omisyonu </w:t>
      </w:r>
      <w:r w:rsidR="00C44B0D" w:rsidRPr="00C63DED">
        <w:rPr>
          <w:rFonts w:ascii="Times New Roman" w:eastAsia="Times New Roman" w:hAnsi="Times New Roman" w:cs="Times New Roman"/>
          <w:sz w:val="24"/>
          <w:szCs w:val="24"/>
        </w:rPr>
        <w:t xml:space="preserve">tarafından nihai </w:t>
      </w:r>
      <w:r w:rsidR="00C30B7C" w:rsidRPr="00C63DED">
        <w:rPr>
          <w:rFonts w:ascii="Times New Roman" w:eastAsia="Times New Roman" w:hAnsi="Times New Roman" w:cs="Times New Roman"/>
          <w:sz w:val="24"/>
          <w:szCs w:val="24"/>
        </w:rPr>
        <w:t>liste Rektörün onayına</w:t>
      </w:r>
      <w:r w:rsidR="0071698B" w:rsidRPr="00C63DED">
        <w:rPr>
          <w:rFonts w:ascii="Times New Roman" w:eastAsia="Times New Roman" w:hAnsi="Times New Roman" w:cs="Times New Roman"/>
          <w:sz w:val="24"/>
          <w:szCs w:val="24"/>
        </w:rPr>
        <w:t xml:space="preserve"> sun</w:t>
      </w:r>
      <w:r w:rsidR="00C44B0D" w:rsidRPr="00C63DED">
        <w:rPr>
          <w:rFonts w:ascii="Times New Roman" w:eastAsia="Times New Roman" w:hAnsi="Times New Roman" w:cs="Times New Roman"/>
          <w:sz w:val="24"/>
          <w:szCs w:val="24"/>
        </w:rPr>
        <w:t>ulur</w:t>
      </w:r>
      <w:r w:rsidRPr="00C63D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3DED" w:rsidRPr="00C63DED" w:rsidRDefault="00C63DED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akademik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performans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teşvik </w:t>
      </w:r>
      <w:r w:rsidR="00C44B0D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değerlendirme </w:t>
      </w:r>
      <w:r w:rsidR="00767436" w:rsidRPr="00C63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komisyonu ge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rekli </w:t>
      </w:r>
      <w:r w:rsidR="00D03BA3" w:rsidRPr="00C63DED">
        <w:rPr>
          <w:rFonts w:ascii="Times New Roman" w:eastAsia="Times New Roman" w:hAnsi="Times New Roman" w:cs="Times New Roman"/>
          <w:sz w:val="24"/>
          <w:szCs w:val="24"/>
        </w:rPr>
        <w:t>incelemeleri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yaparken 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 xml:space="preserve">gerçeğe aykırılığı tespit edilen beyanları 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iptal eder,</w:t>
      </w:r>
    </w:p>
    <w:p w:rsidR="00AB2308" w:rsidRPr="00C63DED" w:rsidRDefault="00581636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DED">
        <w:rPr>
          <w:rFonts w:ascii="Times New Roman" w:eastAsia="Times New Roman" w:hAnsi="Times New Roman" w:cs="Times New Roman"/>
          <w:sz w:val="24"/>
          <w:szCs w:val="24"/>
        </w:rPr>
        <w:t>Öğretim e</w:t>
      </w:r>
      <w:r w:rsidR="00173722" w:rsidRPr="00C63DED">
        <w:rPr>
          <w:rFonts w:ascii="Times New Roman" w:eastAsia="Times New Roman" w:hAnsi="Times New Roman" w:cs="Times New Roman"/>
          <w:sz w:val="24"/>
          <w:szCs w:val="24"/>
        </w:rPr>
        <w:t xml:space="preserve">lemanının 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>birim a</w:t>
      </w:r>
      <w:r w:rsidR="00D03BA3" w:rsidRPr="00C63DED">
        <w:rPr>
          <w:rFonts w:ascii="Times New Roman" w:eastAsia="Times New Roman" w:hAnsi="Times New Roman" w:cs="Times New Roman"/>
          <w:sz w:val="24"/>
          <w:szCs w:val="24"/>
        </w:rPr>
        <w:t xml:space="preserve">kademik performans </w:t>
      </w:r>
      <w:r w:rsidR="0071698B" w:rsidRPr="00C63DED">
        <w:rPr>
          <w:rFonts w:ascii="Times New Roman" w:eastAsia="Times New Roman" w:hAnsi="Times New Roman" w:cs="Times New Roman"/>
          <w:sz w:val="24"/>
          <w:szCs w:val="24"/>
        </w:rPr>
        <w:t>teşvik</w:t>
      </w:r>
      <w:r w:rsidR="00F23AC3">
        <w:rPr>
          <w:rFonts w:ascii="Times New Roman" w:eastAsia="Times New Roman" w:hAnsi="Times New Roman" w:cs="Times New Roman"/>
          <w:sz w:val="24"/>
          <w:szCs w:val="24"/>
        </w:rPr>
        <w:t xml:space="preserve"> değerlendirme komisyonuna 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>başvurabilmesi için</w:t>
      </w:r>
      <w:r w:rsidR="00C63DED">
        <w:rPr>
          <w:rFonts w:ascii="Times New Roman" w:eastAsia="Times New Roman" w:hAnsi="Times New Roman" w:cs="Times New Roman"/>
          <w:sz w:val="24"/>
          <w:szCs w:val="24"/>
        </w:rPr>
        <w:t xml:space="preserve"> ilgili yıla ait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r w:rsidR="00767436" w:rsidRPr="00C63D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>0 puan</w:t>
      </w:r>
      <w:r w:rsidR="00767436" w:rsidRPr="00C63DED">
        <w:rPr>
          <w:rFonts w:ascii="Times New Roman" w:eastAsia="Times New Roman" w:hAnsi="Times New Roman" w:cs="Times New Roman"/>
          <w:sz w:val="24"/>
          <w:szCs w:val="24"/>
        </w:rPr>
        <w:t xml:space="preserve"> (YÖKSİS Ham Puan)</w:t>
      </w:r>
      <w:r w:rsidR="00AB2308" w:rsidRPr="00C6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şartını sağlaması gerekmektedir,</w:t>
      </w:r>
    </w:p>
    <w:p w:rsidR="00C63DED" w:rsidRPr="00F23AC3" w:rsidRDefault="00C63DED" w:rsidP="00C63DED">
      <w:pPr>
        <w:pStyle w:val="ListeParagraf"/>
        <w:numPr>
          <w:ilvl w:val="0"/>
          <w:numId w:val="1"/>
        </w:numPr>
        <w:spacing w:before="120" w:after="120" w:line="360" w:lineRule="auto"/>
        <w:ind w:left="100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Başarılı olan öğretim elemanlarına verilecek ödülün içeriği her yıl R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ektörlük tarafından belirlenir,</w:t>
      </w:r>
    </w:p>
    <w:p w:rsidR="00F23AC3" w:rsidRDefault="00F23AC3" w:rsidP="00F23AC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C3" w:rsidRDefault="00F23AC3" w:rsidP="00FD4DC2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Değerlendirme</w:t>
      </w:r>
    </w:p>
    <w:p w:rsidR="00F23AC3" w:rsidRPr="005D42D3" w:rsidRDefault="00F23AC3" w:rsidP="00FD4DC2">
      <w:pPr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(6) </w:t>
      </w:r>
      <w:r w:rsidRPr="00F23AC3">
        <w:rPr>
          <w:rFonts w:ascii="Times New Roman" w:eastAsia="Times New Roman" w:hAnsi="Times New Roman" w:cs="Times New Roman"/>
          <w:sz w:val="24"/>
          <w:szCs w:val="24"/>
        </w:rPr>
        <w:t>Bu yönergede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AC3" w:rsidRPr="00F23AC3" w:rsidRDefault="00F23AC3" w:rsidP="00FD4DC2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 yıla ait akademik performans teşviki bir önceki yılın 1 Ocak-31 Aralık tarihleri arasındaki bilimsel faaliyetleri kapsar. Bu yönerge kapsamındaki akademik performans teşvik etkinliklerin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gerçekleştirildiği yıl itibarıyla Siirt Üniversitesinde yer alan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akülte,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Yüksekokul ve M</w:t>
      </w: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eslek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üksekokullarında aktif olarak görev yapan öğretim elemanları yararlanabilir. İstifa etmiş olanlar, istifa tarihi dikkate alınmaksızın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 teşviklerden yararlanamazlar,</w:t>
      </w:r>
    </w:p>
    <w:p w:rsidR="00FD4DC2" w:rsidRDefault="00F23AC3" w:rsidP="00FD4DC2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Akademik </w:t>
      </w:r>
      <w:r w:rsidR="00FD4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performans </w:t>
      </w:r>
      <w:r w:rsidRPr="00F23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teşvik </w:t>
      </w:r>
      <w:r w:rsidRPr="00F23AC3">
        <w:rPr>
          <w:rFonts w:ascii="Times New Roman" w:eastAsia="Times New Roman" w:hAnsi="Times New Roman" w:cs="Times New Roman"/>
          <w:sz w:val="24"/>
          <w:szCs w:val="24"/>
        </w:rPr>
        <w:t>başvu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rusunda kullanılacak çalışmanın</w:t>
      </w:r>
      <w:r w:rsidRPr="00F23AC3">
        <w:rPr>
          <w:rFonts w:ascii="Times New Roman" w:eastAsia="Times New Roman" w:hAnsi="Times New Roman" w:cs="Times New Roman"/>
          <w:sz w:val="24"/>
          <w:szCs w:val="24"/>
        </w:rPr>
        <w:t xml:space="preserve"> Siirt Üniversitesi adresli olması ve Rektörlükçe ilan edilen yıla ait olması gerek</w:t>
      </w:r>
      <w:r w:rsidR="00FD4DC2">
        <w:rPr>
          <w:rFonts w:ascii="Times New Roman" w:eastAsia="Times New Roman" w:hAnsi="Times New Roman" w:cs="Times New Roman"/>
          <w:sz w:val="24"/>
          <w:szCs w:val="24"/>
        </w:rPr>
        <w:t>ir,</w:t>
      </w:r>
    </w:p>
    <w:p w:rsidR="00FD4DC2" w:rsidRDefault="00FD4DC2" w:rsidP="00FD4DC2">
      <w:pPr>
        <w:pStyle w:val="ListeParagraf"/>
        <w:spacing w:before="120" w:after="120" w:line="360" w:lineRule="auto"/>
        <w:ind w:left="1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DC2" w:rsidRDefault="00D03BA3" w:rsidP="00FD4DC2">
      <w:pPr>
        <w:pStyle w:val="ListeParagraf"/>
        <w:spacing w:before="120" w:after="120" w:line="360" w:lineRule="auto"/>
        <w:ind w:left="1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DC2">
        <w:rPr>
          <w:rFonts w:ascii="Times New Roman" w:eastAsia="Times New Roman" w:hAnsi="Times New Roman" w:cs="Times New Roman"/>
          <w:b/>
          <w:sz w:val="24"/>
          <w:szCs w:val="24"/>
        </w:rPr>
        <w:t>ÜÇÜNÇÜ</w:t>
      </w:r>
      <w:r w:rsidR="00542747" w:rsidRPr="00FD4DC2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</w:t>
      </w:r>
    </w:p>
    <w:p w:rsidR="00FD4DC2" w:rsidRDefault="00FD4DC2" w:rsidP="00FD4DC2">
      <w:pPr>
        <w:pStyle w:val="ListeParagraf"/>
        <w:spacing w:before="120" w:after="120" w:line="360" w:lineRule="auto"/>
        <w:ind w:left="11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308" w:rsidRPr="00FD4DC2" w:rsidRDefault="00AB2308" w:rsidP="00FD4DC2">
      <w:pPr>
        <w:pStyle w:val="ListeParagraf"/>
        <w:spacing w:before="120" w:after="120" w:line="360" w:lineRule="auto"/>
        <w:ind w:left="1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Çeşitli ve Son Hükümler</w:t>
      </w:r>
    </w:p>
    <w:p w:rsidR="00AB2308" w:rsidRPr="005D42D3" w:rsidRDefault="00AB2308" w:rsidP="00FD4DC2">
      <w:pPr>
        <w:spacing w:before="120" w:after="120" w:line="36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:rsidR="00AB2308" w:rsidRPr="005D42D3" w:rsidRDefault="00AB2308" w:rsidP="00FD4DC2">
      <w:pPr>
        <w:spacing w:before="120" w:after="120" w:line="36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767436" w:rsidRPr="005D42D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>(1) Bu yönerge, Senato’da kabul edildiği tarihte yürürlüğe girer.</w:t>
      </w:r>
    </w:p>
    <w:p w:rsidR="00AB2308" w:rsidRPr="005D42D3" w:rsidRDefault="00AB2308" w:rsidP="00FD4DC2">
      <w:pPr>
        <w:spacing w:before="120" w:after="120" w:line="36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:rsidR="00AB2308" w:rsidRPr="005D42D3" w:rsidRDefault="00AB2308" w:rsidP="00FD4DC2">
      <w:pPr>
        <w:spacing w:before="120" w:after="120" w:line="36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767436" w:rsidRPr="005D42D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2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D42D3">
        <w:rPr>
          <w:rFonts w:ascii="Times New Roman" w:eastAsia="Times New Roman" w:hAnsi="Times New Roman" w:cs="Times New Roman"/>
          <w:sz w:val="24"/>
          <w:szCs w:val="24"/>
        </w:rPr>
        <w:t>(1) Bu yönergeyi Siirt Üniversitesi Rektörü yürütür.</w:t>
      </w:r>
    </w:p>
    <w:p w:rsidR="00061DE3" w:rsidRPr="005D42D3" w:rsidRDefault="00061DE3" w:rsidP="00FD4DC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61DE3" w:rsidRPr="005D42D3" w:rsidSect="0093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CBF4FF8A"/>
    <w:lvl w:ilvl="0" w:tplc="F0C69FB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03C7B96"/>
    <w:multiLevelType w:val="hybridMultilevel"/>
    <w:tmpl w:val="51E8C9E2"/>
    <w:lvl w:ilvl="0" w:tplc="94227BD2">
      <w:start w:val="1"/>
      <w:numFmt w:val="lowerLetter"/>
      <w:lvlText w:val="%1)"/>
      <w:lvlJc w:val="left"/>
      <w:pPr>
        <w:ind w:left="1121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608775F2"/>
    <w:multiLevelType w:val="hybridMultilevel"/>
    <w:tmpl w:val="AFA839D4"/>
    <w:lvl w:ilvl="0" w:tplc="E4227DFE">
      <w:start w:val="1"/>
      <w:numFmt w:val="lowerLetter"/>
      <w:lvlText w:val="%1)"/>
      <w:lvlJc w:val="left"/>
      <w:pPr>
        <w:ind w:left="1121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8"/>
    <w:rsid w:val="000130F1"/>
    <w:rsid w:val="00061DE3"/>
    <w:rsid w:val="00173722"/>
    <w:rsid w:val="001B3E92"/>
    <w:rsid w:val="00433569"/>
    <w:rsid w:val="00542747"/>
    <w:rsid w:val="00581636"/>
    <w:rsid w:val="005D42D3"/>
    <w:rsid w:val="006134D3"/>
    <w:rsid w:val="006A695F"/>
    <w:rsid w:val="006F2318"/>
    <w:rsid w:val="0071698B"/>
    <w:rsid w:val="00767436"/>
    <w:rsid w:val="00932039"/>
    <w:rsid w:val="009851ED"/>
    <w:rsid w:val="00AB2308"/>
    <w:rsid w:val="00B15095"/>
    <w:rsid w:val="00B46DD7"/>
    <w:rsid w:val="00C30B7C"/>
    <w:rsid w:val="00C44B0D"/>
    <w:rsid w:val="00C63DED"/>
    <w:rsid w:val="00CA24EB"/>
    <w:rsid w:val="00CF471E"/>
    <w:rsid w:val="00D03BA3"/>
    <w:rsid w:val="00D7423C"/>
    <w:rsid w:val="00E54782"/>
    <w:rsid w:val="00F23AC3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376E-B02A-4A18-9A5A-AE18D46E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4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SAİT İZGİ</dc:creator>
  <cp:lastModifiedBy>aidata</cp:lastModifiedBy>
  <cp:revision>2</cp:revision>
  <cp:lastPrinted>2019-05-28T11:50:00Z</cp:lastPrinted>
  <dcterms:created xsi:type="dcterms:W3CDTF">2019-05-30T10:13:00Z</dcterms:created>
  <dcterms:modified xsi:type="dcterms:W3CDTF">2019-05-30T10:13:00Z</dcterms:modified>
</cp:coreProperties>
</file>